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59" w:rsidRPr="005327DD" w:rsidRDefault="000F1321" w:rsidP="008B6F2F">
      <w:pPr>
        <w:jc w:val="both"/>
        <w:rPr>
          <w:rFonts w:ascii="Arial" w:hAnsi="Arial" w:cs="Arial"/>
          <w:b/>
          <w:sz w:val="24"/>
          <w:szCs w:val="24"/>
        </w:rPr>
      </w:pPr>
      <w:r w:rsidRPr="005327DD">
        <w:rPr>
          <w:rFonts w:ascii="Arial" w:hAnsi="Arial" w:cs="Arial"/>
          <w:b/>
          <w:sz w:val="24"/>
          <w:szCs w:val="24"/>
        </w:rPr>
        <w:t xml:space="preserve">Nota jurídica - Qüestió prejudicial plantejada al Tribunal de Justícia de </w:t>
      </w:r>
      <w:r w:rsidR="00484A79" w:rsidRPr="005327DD">
        <w:rPr>
          <w:rFonts w:ascii="Arial" w:hAnsi="Arial" w:cs="Arial"/>
          <w:b/>
          <w:sz w:val="24"/>
          <w:szCs w:val="24"/>
        </w:rPr>
        <w:t>la Unió Europea respecte de la renúncia a la r</w:t>
      </w:r>
      <w:r w:rsidRPr="005327DD">
        <w:rPr>
          <w:rFonts w:ascii="Arial" w:hAnsi="Arial" w:cs="Arial"/>
          <w:b/>
          <w:sz w:val="24"/>
          <w:szCs w:val="24"/>
        </w:rPr>
        <w:t>eclamació dels interessos de demora per les empreses que s’acullin al mecanisme de pagament a proveïdors.</w:t>
      </w:r>
    </w:p>
    <w:p w:rsidR="000F1321" w:rsidRPr="005327DD" w:rsidRDefault="000F1321" w:rsidP="008B6F2F">
      <w:pPr>
        <w:jc w:val="both"/>
        <w:rPr>
          <w:rFonts w:ascii="Arial" w:hAnsi="Arial" w:cs="Arial"/>
          <w:sz w:val="24"/>
          <w:szCs w:val="24"/>
        </w:rPr>
      </w:pPr>
    </w:p>
    <w:p w:rsidR="000F1321" w:rsidRPr="005327DD" w:rsidRDefault="000F1321" w:rsidP="008B6F2F">
      <w:pPr>
        <w:jc w:val="both"/>
        <w:rPr>
          <w:rFonts w:ascii="Arial" w:hAnsi="Arial" w:cs="Arial"/>
          <w:i/>
          <w:sz w:val="24"/>
          <w:szCs w:val="24"/>
        </w:rPr>
      </w:pPr>
      <w:r w:rsidRPr="005327DD">
        <w:rPr>
          <w:rFonts w:ascii="Arial" w:hAnsi="Arial" w:cs="Arial"/>
          <w:sz w:val="24"/>
          <w:szCs w:val="24"/>
        </w:rPr>
        <w:t xml:space="preserve">Mitjançant el </w:t>
      </w:r>
      <w:r w:rsidRPr="005327DD">
        <w:rPr>
          <w:rFonts w:ascii="Arial" w:hAnsi="Arial" w:cs="Arial"/>
          <w:i/>
          <w:sz w:val="24"/>
          <w:szCs w:val="24"/>
        </w:rPr>
        <w:t>Re</w:t>
      </w:r>
      <w:r w:rsidR="004E5403" w:rsidRPr="005327DD">
        <w:rPr>
          <w:rFonts w:ascii="Arial" w:hAnsi="Arial" w:cs="Arial"/>
          <w:i/>
          <w:sz w:val="24"/>
          <w:szCs w:val="24"/>
        </w:rPr>
        <w:t>i</w:t>
      </w:r>
      <w:r w:rsidRPr="005327DD">
        <w:rPr>
          <w:rFonts w:ascii="Arial" w:hAnsi="Arial" w:cs="Arial"/>
          <w:i/>
          <w:sz w:val="24"/>
          <w:szCs w:val="24"/>
        </w:rPr>
        <w:t>al Decret-Llei 4/2012, de 24 de febrer</w:t>
      </w:r>
      <w:r w:rsidR="004E5403" w:rsidRPr="005327DD">
        <w:rPr>
          <w:rFonts w:ascii="Arial" w:hAnsi="Arial" w:cs="Arial"/>
          <w:i/>
          <w:sz w:val="24"/>
          <w:szCs w:val="24"/>
        </w:rPr>
        <w:t>, pel qual</w:t>
      </w:r>
      <w:r w:rsidRPr="005327DD">
        <w:rPr>
          <w:rFonts w:ascii="Arial" w:hAnsi="Arial" w:cs="Arial"/>
          <w:i/>
          <w:sz w:val="24"/>
          <w:szCs w:val="24"/>
        </w:rPr>
        <w:t xml:space="preserve"> es determinen obligacions d’informació i procediments necessaris per establir un mecanisme de </w:t>
      </w:r>
      <w:r w:rsidR="002B0F65" w:rsidRPr="005327DD">
        <w:rPr>
          <w:rFonts w:ascii="Arial" w:hAnsi="Arial" w:cs="Arial"/>
          <w:i/>
          <w:sz w:val="24"/>
          <w:szCs w:val="24"/>
        </w:rPr>
        <w:t>finançament</w:t>
      </w:r>
      <w:r w:rsidRPr="005327DD">
        <w:rPr>
          <w:rFonts w:ascii="Arial" w:hAnsi="Arial" w:cs="Arial"/>
          <w:i/>
          <w:sz w:val="24"/>
          <w:szCs w:val="24"/>
        </w:rPr>
        <w:t xml:space="preserve"> per al pagament als proveïdors de les entitats</w:t>
      </w:r>
      <w:r w:rsidRPr="005327DD">
        <w:rPr>
          <w:rFonts w:ascii="Arial" w:hAnsi="Arial" w:cs="Arial"/>
          <w:sz w:val="24"/>
          <w:szCs w:val="24"/>
        </w:rPr>
        <w:t>, es va crear el mecanisme de pag</w:t>
      </w:r>
      <w:r w:rsidR="002B0F65" w:rsidRPr="005327DD">
        <w:rPr>
          <w:rFonts w:ascii="Arial" w:hAnsi="Arial" w:cs="Arial"/>
          <w:sz w:val="24"/>
          <w:szCs w:val="24"/>
        </w:rPr>
        <w:t xml:space="preserve">ament a proveïdors que habilitava les condicions necessàries per permetre a les entitats locals la cancel·lació de les obligacions pendents de pagament amb els seus proveïdors, derivades de la contractació d’obres, subministraments o serveis. </w:t>
      </w:r>
    </w:p>
    <w:p w:rsidR="000F1321" w:rsidRPr="005327DD" w:rsidRDefault="002B0F65" w:rsidP="008B6F2F">
      <w:pPr>
        <w:jc w:val="both"/>
        <w:rPr>
          <w:rFonts w:ascii="Arial" w:hAnsi="Arial" w:cs="Arial"/>
          <w:sz w:val="24"/>
          <w:szCs w:val="24"/>
        </w:rPr>
      </w:pPr>
      <w:r w:rsidRPr="005327DD">
        <w:rPr>
          <w:rFonts w:ascii="Arial" w:hAnsi="Arial" w:cs="Arial"/>
          <w:sz w:val="24"/>
          <w:szCs w:val="24"/>
        </w:rPr>
        <w:t xml:space="preserve">Mitjançant el </w:t>
      </w:r>
      <w:r w:rsidRPr="005327DD">
        <w:rPr>
          <w:rFonts w:ascii="Arial" w:hAnsi="Arial" w:cs="Arial"/>
          <w:i/>
          <w:sz w:val="24"/>
          <w:szCs w:val="24"/>
        </w:rPr>
        <w:t>Re</w:t>
      </w:r>
      <w:r w:rsidR="004E5403" w:rsidRPr="005327DD">
        <w:rPr>
          <w:rFonts w:ascii="Arial" w:hAnsi="Arial" w:cs="Arial"/>
          <w:i/>
          <w:sz w:val="24"/>
          <w:szCs w:val="24"/>
        </w:rPr>
        <w:t>i</w:t>
      </w:r>
      <w:r w:rsidRPr="005327DD">
        <w:rPr>
          <w:rFonts w:ascii="Arial" w:hAnsi="Arial" w:cs="Arial"/>
          <w:i/>
          <w:sz w:val="24"/>
          <w:szCs w:val="24"/>
        </w:rPr>
        <w:t>al Decret-Llei 8/2013, de 28 de juny, de mesures urgents contra la morositat de les administracions públiques i de suport a les entitats locals amb problemes financers</w:t>
      </w:r>
      <w:r w:rsidRPr="005327DD">
        <w:rPr>
          <w:rFonts w:ascii="Arial" w:hAnsi="Arial" w:cs="Arial"/>
          <w:sz w:val="24"/>
          <w:szCs w:val="24"/>
        </w:rPr>
        <w:t xml:space="preserve"> es van introduir actualitzacions </w:t>
      </w:r>
      <w:r w:rsidR="004E5403" w:rsidRPr="005327DD">
        <w:rPr>
          <w:rFonts w:ascii="Arial" w:hAnsi="Arial" w:cs="Arial"/>
          <w:sz w:val="24"/>
          <w:szCs w:val="24"/>
        </w:rPr>
        <w:t>a</w:t>
      </w:r>
      <w:r w:rsidRPr="005327DD">
        <w:rPr>
          <w:rFonts w:ascii="Arial" w:hAnsi="Arial" w:cs="Arial"/>
          <w:sz w:val="24"/>
          <w:szCs w:val="24"/>
        </w:rPr>
        <w:t xml:space="preserve">l mecanisme de pagament a proveïdors exposat anteriorment. </w:t>
      </w:r>
    </w:p>
    <w:p w:rsidR="009E5C97" w:rsidRPr="005327DD" w:rsidRDefault="002B0F65" w:rsidP="008B6F2F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r w:rsidRPr="005327DD">
        <w:rPr>
          <w:rFonts w:ascii="Arial" w:hAnsi="Arial" w:cs="Arial"/>
          <w:sz w:val="24"/>
          <w:szCs w:val="24"/>
        </w:rPr>
        <w:t>La normativa exposada preveu</w:t>
      </w:r>
      <w:r w:rsidR="004E5403" w:rsidRPr="005327DD">
        <w:rPr>
          <w:rFonts w:ascii="Arial" w:hAnsi="Arial" w:cs="Arial"/>
          <w:sz w:val="24"/>
          <w:szCs w:val="24"/>
        </w:rPr>
        <w:t xml:space="preserve">,  en els </w:t>
      </w:r>
      <w:r w:rsidRPr="005327DD">
        <w:rPr>
          <w:rFonts w:ascii="Arial" w:hAnsi="Arial" w:cs="Arial"/>
          <w:sz w:val="24"/>
          <w:szCs w:val="24"/>
        </w:rPr>
        <w:t>article</w:t>
      </w:r>
      <w:r w:rsidR="004E5403" w:rsidRPr="005327DD">
        <w:rPr>
          <w:rFonts w:ascii="Arial" w:hAnsi="Arial" w:cs="Arial"/>
          <w:sz w:val="24"/>
          <w:szCs w:val="24"/>
        </w:rPr>
        <w:t>s</w:t>
      </w:r>
      <w:r w:rsidRPr="005327DD">
        <w:rPr>
          <w:rFonts w:ascii="Arial" w:hAnsi="Arial" w:cs="Arial"/>
          <w:sz w:val="24"/>
          <w:szCs w:val="24"/>
        </w:rPr>
        <w:t xml:space="preserve"> 9</w:t>
      </w:r>
      <w:r w:rsidR="003A00FA" w:rsidRPr="005327DD">
        <w:rPr>
          <w:rFonts w:ascii="Arial" w:hAnsi="Arial" w:cs="Arial"/>
          <w:sz w:val="24"/>
          <w:szCs w:val="24"/>
        </w:rPr>
        <w:t>.2</w:t>
      </w:r>
      <w:r w:rsidRPr="005327DD">
        <w:rPr>
          <w:rFonts w:ascii="Arial" w:hAnsi="Arial" w:cs="Arial"/>
          <w:sz w:val="24"/>
          <w:szCs w:val="24"/>
        </w:rPr>
        <w:t xml:space="preserve"> del Real Decret-Llei 4/2012 i  </w:t>
      </w:r>
      <w:r w:rsidR="009E5C97" w:rsidRPr="005327DD">
        <w:rPr>
          <w:rFonts w:ascii="Arial" w:hAnsi="Arial" w:cs="Arial"/>
          <w:sz w:val="24"/>
          <w:szCs w:val="24"/>
        </w:rPr>
        <w:t>6 del Re</w:t>
      </w:r>
      <w:r w:rsidR="004E5403" w:rsidRPr="005327DD">
        <w:rPr>
          <w:rFonts w:ascii="Arial" w:hAnsi="Arial" w:cs="Arial"/>
          <w:sz w:val="24"/>
          <w:szCs w:val="24"/>
        </w:rPr>
        <w:t>i</w:t>
      </w:r>
      <w:r w:rsidR="009E5C97" w:rsidRPr="005327DD">
        <w:rPr>
          <w:rFonts w:ascii="Arial" w:hAnsi="Arial" w:cs="Arial"/>
          <w:sz w:val="24"/>
          <w:szCs w:val="24"/>
        </w:rPr>
        <w:t>al Decret-Llei 8/2013, per als casos que el proveïdor s’aculli al mecanisme de pagament avançat, que renunciar</w:t>
      </w:r>
      <w:r w:rsidR="004E5403" w:rsidRPr="005327DD">
        <w:rPr>
          <w:rFonts w:ascii="Arial" w:hAnsi="Arial" w:cs="Arial"/>
          <w:sz w:val="24"/>
          <w:szCs w:val="24"/>
        </w:rPr>
        <w:t>à</w:t>
      </w:r>
      <w:r w:rsidR="009E5C97" w:rsidRPr="005327DD">
        <w:rPr>
          <w:rFonts w:ascii="Arial" w:hAnsi="Arial" w:cs="Arial"/>
          <w:sz w:val="24"/>
          <w:szCs w:val="24"/>
        </w:rPr>
        <w:t xml:space="preserve"> a cobrar de l’entitat local deutora el deute principal, els interessos de demora, costes judicials i quals</w:t>
      </w:r>
      <w:r w:rsidR="004E5403" w:rsidRPr="005327DD">
        <w:rPr>
          <w:rFonts w:ascii="Arial" w:hAnsi="Arial" w:cs="Arial"/>
          <w:sz w:val="24"/>
          <w:szCs w:val="24"/>
        </w:rPr>
        <w:t>s</w:t>
      </w:r>
      <w:r w:rsidR="009E5C97" w:rsidRPr="005327DD">
        <w:rPr>
          <w:rFonts w:ascii="Arial" w:hAnsi="Arial" w:cs="Arial"/>
          <w:sz w:val="24"/>
          <w:szCs w:val="24"/>
        </w:rPr>
        <w:t xml:space="preserve">evol altres despeses accessòries. </w:t>
      </w:r>
      <w:r w:rsidR="00CB618A" w:rsidRPr="005327DD">
        <w:rPr>
          <w:rFonts w:ascii="Arial" w:hAnsi="Arial" w:cs="Arial"/>
          <w:sz w:val="24"/>
          <w:szCs w:val="24"/>
        </w:rPr>
        <w:t xml:space="preserve">Per tant, els proveïdors que s’acullin voluntàriament al cobrament avançat dels deutes no podran reclamar el cobrament dels interessos de demora derivats dels deutes de l’Administració. </w:t>
      </w:r>
    </w:p>
    <w:p w:rsidR="002934B7" w:rsidRPr="005327DD" w:rsidRDefault="00D4239E" w:rsidP="008B6F2F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r w:rsidRPr="005327DD">
        <w:rPr>
          <w:rFonts w:ascii="Arial" w:hAnsi="Arial" w:cs="Arial"/>
          <w:sz w:val="24"/>
          <w:szCs w:val="24"/>
        </w:rPr>
        <w:t>Es va plantejar</w:t>
      </w:r>
      <w:r w:rsidR="00CB618A" w:rsidRPr="005327DD">
        <w:rPr>
          <w:rFonts w:ascii="Arial" w:hAnsi="Arial" w:cs="Arial"/>
          <w:sz w:val="24"/>
          <w:szCs w:val="24"/>
        </w:rPr>
        <w:t xml:space="preserve"> una qüestió prejudicial</w:t>
      </w:r>
      <w:r w:rsidRPr="005327DD">
        <w:rPr>
          <w:rFonts w:ascii="Arial" w:hAnsi="Arial" w:cs="Arial"/>
          <w:sz w:val="24"/>
          <w:szCs w:val="24"/>
        </w:rPr>
        <w:t xml:space="preserve"> davant el Tribunal de Justícia de la Unió Europea (TJUE) sobre la interpretació de la Directiva 2011/7/UE, de 16 de febrer de 2011, per determinar l’adequació a la normativa </w:t>
      </w:r>
      <w:r w:rsidR="004E5403" w:rsidRPr="005327DD">
        <w:rPr>
          <w:rFonts w:ascii="Arial" w:hAnsi="Arial" w:cs="Arial"/>
          <w:sz w:val="24"/>
          <w:szCs w:val="24"/>
        </w:rPr>
        <w:t>de la UE</w:t>
      </w:r>
      <w:r w:rsidRPr="005327DD">
        <w:rPr>
          <w:rFonts w:ascii="Arial" w:hAnsi="Arial" w:cs="Arial"/>
          <w:sz w:val="24"/>
          <w:szCs w:val="24"/>
        </w:rPr>
        <w:t xml:space="preserve"> de les previsions que impedeixen cobrar els interessos de demora i les despeses de cobrament. El tribunal europeu s’ha pronunciat declarant que les previsions de l’ordenament espanyol </w:t>
      </w:r>
      <w:r w:rsidR="004E5403" w:rsidRPr="005327DD">
        <w:rPr>
          <w:rFonts w:ascii="Arial" w:hAnsi="Arial" w:cs="Arial"/>
          <w:sz w:val="24"/>
          <w:szCs w:val="24"/>
        </w:rPr>
        <w:t xml:space="preserve"> </w:t>
      </w:r>
      <w:r w:rsidRPr="005327DD">
        <w:rPr>
          <w:rFonts w:ascii="Arial" w:hAnsi="Arial" w:cs="Arial"/>
          <w:sz w:val="24"/>
          <w:szCs w:val="24"/>
        </w:rPr>
        <w:t xml:space="preserve">s’adeqüen a l’ordenament </w:t>
      </w:r>
      <w:r w:rsidR="004E5403" w:rsidRPr="005327DD">
        <w:rPr>
          <w:rFonts w:ascii="Arial" w:hAnsi="Arial" w:cs="Arial"/>
          <w:sz w:val="24"/>
          <w:szCs w:val="24"/>
        </w:rPr>
        <w:t>de la UE</w:t>
      </w:r>
      <w:r w:rsidRPr="005327DD">
        <w:rPr>
          <w:rFonts w:ascii="Arial" w:hAnsi="Arial" w:cs="Arial"/>
          <w:sz w:val="24"/>
          <w:szCs w:val="24"/>
        </w:rPr>
        <w:t>, ja que acollir-se al mecanisme de pagament a proveïdors és voluntari per part dels proveïdors, que p</w:t>
      </w:r>
      <w:r w:rsidR="004E5403" w:rsidRPr="005327DD">
        <w:rPr>
          <w:rFonts w:ascii="Arial" w:hAnsi="Arial" w:cs="Arial"/>
          <w:sz w:val="24"/>
          <w:szCs w:val="24"/>
        </w:rPr>
        <w:t>oden optar per no acollir-s’hi r</w:t>
      </w:r>
      <w:r w:rsidRPr="005327DD">
        <w:rPr>
          <w:rFonts w:ascii="Arial" w:hAnsi="Arial" w:cs="Arial"/>
          <w:sz w:val="24"/>
          <w:szCs w:val="24"/>
        </w:rPr>
        <w:t xml:space="preserve">eclamar els interessos de demora i despeses accessòries. </w:t>
      </w:r>
      <w:r w:rsidR="00F91E4B" w:rsidRPr="005327DD">
        <w:rPr>
          <w:rFonts w:ascii="Arial" w:hAnsi="Arial" w:cs="Arial"/>
          <w:sz w:val="24"/>
          <w:szCs w:val="24"/>
        </w:rPr>
        <w:t xml:space="preserve">Per tant, no es poden considerar abusives les clàusules que contenen aquestes previsions. </w:t>
      </w:r>
    </w:p>
    <w:p w:rsidR="00A746C7" w:rsidRPr="005327DD" w:rsidRDefault="00FD6AEE" w:rsidP="008B6F2F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r w:rsidRPr="005327DD">
        <w:rPr>
          <w:rFonts w:ascii="Arial" w:hAnsi="Arial" w:cs="Arial"/>
          <w:sz w:val="24"/>
          <w:szCs w:val="24"/>
        </w:rPr>
        <w:t xml:space="preserve">El TJUE argumenta que de la Directiva 2011/7 </w:t>
      </w:r>
      <w:r w:rsidRPr="005327DD">
        <w:rPr>
          <w:rFonts w:ascii="Arial" w:hAnsi="Arial" w:cs="Arial"/>
          <w:i/>
          <w:sz w:val="24"/>
          <w:szCs w:val="24"/>
        </w:rPr>
        <w:t xml:space="preserve">no es dedueix que  el creditor </w:t>
      </w:r>
      <w:r w:rsidR="004E5403" w:rsidRPr="005327DD">
        <w:rPr>
          <w:rFonts w:ascii="Arial" w:hAnsi="Arial" w:cs="Arial"/>
          <w:i/>
          <w:sz w:val="24"/>
          <w:szCs w:val="24"/>
        </w:rPr>
        <w:t>no pugui renunciar</w:t>
      </w:r>
      <w:r w:rsidRPr="005327DD">
        <w:rPr>
          <w:rFonts w:ascii="Arial" w:hAnsi="Arial" w:cs="Arial"/>
          <w:i/>
          <w:sz w:val="24"/>
          <w:szCs w:val="24"/>
        </w:rPr>
        <w:t xml:space="preserve"> lliurement al dret </w:t>
      </w:r>
      <w:r w:rsidR="00A746C7" w:rsidRPr="005327DD">
        <w:rPr>
          <w:rFonts w:ascii="Arial" w:hAnsi="Arial" w:cs="Arial"/>
          <w:i/>
          <w:sz w:val="24"/>
          <w:szCs w:val="24"/>
        </w:rPr>
        <w:t>a exigir els interessos de demora i la compensació per les despeses de cobramen</w:t>
      </w:r>
      <w:r w:rsidR="004E5403" w:rsidRPr="005327DD">
        <w:rPr>
          <w:rFonts w:ascii="Arial" w:hAnsi="Arial" w:cs="Arial"/>
          <w:i/>
          <w:sz w:val="24"/>
          <w:szCs w:val="24"/>
        </w:rPr>
        <w:t>t</w:t>
      </w:r>
      <w:r w:rsidR="00A746C7" w:rsidRPr="005327DD">
        <w:rPr>
          <w:rFonts w:ascii="Arial" w:hAnsi="Arial" w:cs="Arial"/>
          <w:sz w:val="24"/>
          <w:szCs w:val="24"/>
        </w:rPr>
        <w:t>. Així mateix</w:t>
      </w:r>
      <w:r w:rsidR="004E5403" w:rsidRPr="005327DD">
        <w:rPr>
          <w:rFonts w:ascii="Arial" w:hAnsi="Arial" w:cs="Arial"/>
          <w:sz w:val="24"/>
          <w:szCs w:val="24"/>
        </w:rPr>
        <w:t>,</w:t>
      </w:r>
      <w:r w:rsidR="00A746C7" w:rsidRPr="005327DD">
        <w:rPr>
          <w:rFonts w:ascii="Arial" w:hAnsi="Arial" w:cs="Arial"/>
          <w:sz w:val="24"/>
          <w:szCs w:val="24"/>
        </w:rPr>
        <w:t xml:space="preserve"> </w:t>
      </w:r>
      <w:r w:rsidR="004E5403" w:rsidRPr="005327DD">
        <w:rPr>
          <w:rFonts w:ascii="Arial" w:hAnsi="Arial" w:cs="Arial"/>
          <w:sz w:val="24"/>
          <w:szCs w:val="24"/>
        </w:rPr>
        <w:t>s’</w:t>
      </w:r>
      <w:r w:rsidR="00A746C7" w:rsidRPr="005327DD">
        <w:rPr>
          <w:rFonts w:ascii="Arial" w:hAnsi="Arial" w:cs="Arial"/>
          <w:sz w:val="24"/>
          <w:szCs w:val="24"/>
        </w:rPr>
        <w:t>afirma que “</w:t>
      </w:r>
      <w:r w:rsidR="00A746C7" w:rsidRPr="005327DD">
        <w:rPr>
          <w:rFonts w:ascii="Arial" w:hAnsi="Arial" w:cs="Arial"/>
          <w:i/>
          <w:sz w:val="24"/>
          <w:szCs w:val="24"/>
        </w:rPr>
        <w:t>aquesta renúncia estarà sotmesa al requisit que s’hagi consentit de forma efectivament lliure</w:t>
      </w:r>
      <w:r w:rsidR="00A746C7" w:rsidRPr="005327DD">
        <w:rPr>
          <w:rFonts w:ascii="Arial" w:hAnsi="Arial" w:cs="Arial"/>
          <w:sz w:val="24"/>
          <w:szCs w:val="24"/>
        </w:rPr>
        <w:t>”.</w:t>
      </w:r>
    </w:p>
    <w:p w:rsidR="00A746C7" w:rsidRPr="005327DD" w:rsidRDefault="00A746C7" w:rsidP="008B6F2F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r w:rsidRPr="005327DD">
        <w:rPr>
          <w:rFonts w:ascii="Arial" w:hAnsi="Arial" w:cs="Arial"/>
          <w:sz w:val="24"/>
          <w:szCs w:val="24"/>
        </w:rPr>
        <w:lastRenderedPageBreak/>
        <w:t>El tribunal al·lega que</w:t>
      </w:r>
      <w:r w:rsidR="004E5403" w:rsidRPr="005327DD">
        <w:rPr>
          <w:rFonts w:ascii="Arial" w:hAnsi="Arial" w:cs="Arial"/>
          <w:sz w:val="24"/>
          <w:szCs w:val="24"/>
        </w:rPr>
        <w:t>,</w:t>
      </w:r>
      <w:r w:rsidRPr="005327DD">
        <w:rPr>
          <w:rFonts w:ascii="Arial" w:hAnsi="Arial" w:cs="Arial"/>
          <w:sz w:val="24"/>
          <w:szCs w:val="24"/>
        </w:rPr>
        <w:t xml:space="preserve"> per garantir la llibertat en la renúncia</w:t>
      </w:r>
      <w:r w:rsidR="004E5403" w:rsidRPr="005327DD">
        <w:rPr>
          <w:rFonts w:ascii="Arial" w:hAnsi="Arial" w:cs="Arial"/>
          <w:sz w:val="24"/>
          <w:szCs w:val="24"/>
        </w:rPr>
        <w:t>,</w:t>
      </w:r>
      <w:r w:rsidRPr="005327DD">
        <w:rPr>
          <w:rFonts w:ascii="Arial" w:hAnsi="Arial" w:cs="Arial"/>
          <w:sz w:val="24"/>
          <w:szCs w:val="24"/>
        </w:rPr>
        <w:t xml:space="preserve"> el proveïdor ha de disposar de tots els recursos per exigir el pagament íntegre del deute, si ho desitja, inclosos els interessos de demora i la compensació per les despeses de cobrament. </w:t>
      </w:r>
    </w:p>
    <w:p w:rsidR="00956253" w:rsidRPr="005327DD" w:rsidRDefault="004E5403" w:rsidP="008B6F2F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r w:rsidRPr="005327DD">
        <w:rPr>
          <w:rFonts w:ascii="Arial" w:hAnsi="Arial" w:cs="Arial"/>
          <w:sz w:val="24"/>
          <w:szCs w:val="24"/>
        </w:rPr>
        <w:t>E</w:t>
      </w:r>
      <w:r w:rsidR="00956253" w:rsidRPr="005327DD">
        <w:rPr>
          <w:rFonts w:ascii="Arial" w:hAnsi="Arial" w:cs="Arial"/>
          <w:sz w:val="24"/>
          <w:szCs w:val="24"/>
        </w:rPr>
        <w:t xml:space="preserve">l TJUE conclou que </w:t>
      </w:r>
      <w:r w:rsidR="00F91E4B" w:rsidRPr="005327DD">
        <w:rPr>
          <w:rFonts w:ascii="Arial" w:hAnsi="Arial" w:cs="Arial"/>
          <w:sz w:val="24"/>
          <w:szCs w:val="24"/>
        </w:rPr>
        <w:t xml:space="preserve">l’ordenament espanyol no contradiu </w:t>
      </w:r>
      <w:r w:rsidR="00956253" w:rsidRPr="005327DD">
        <w:rPr>
          <w:rFonts w:ascii="Arial" w:hAnsi="Arial" w:cs="Arial"/>
          <w:sz w:val="24"/>
          <w:szCs w:val="24"/>
        </w:rPr>
        <w:t>la Directiva 2011/7/UE en la mesura que “</w:t>
      </w:r>
      <w:r w:rsidR="00956253" w:rsidRPr="005327DD">
        <w:rPr>
          <w:rFonts w:ascii="Arial" w:hAnsi="Arial" w:cs="Arial"/>
          <w:i/>
          <w:sz w:val="24"/>
          <w:szCs w:val="24"/>
        </w:rPr>
        <w:t>permet al creditor renunciar a exigir els interessos de demora i a la compensació per les despeses de cobrament com a contrapartida al pagament immediat del principal dels crèdits meritats, sempre que aquesta renúncia sigui lliurement consentida, fet que correspon comprovar al jutge nacional</w:t>
      </w:r>
      <w:r w:rsidR="00956253" w:rsidRPr="005327DD">
        <w:rPr>
          <w:rFonts w:ascii="Arial" w:hAnsi="Arial" w:cs="Arial"/>
          <w:sz w:val="24"/>
          <w:szCs w:val="24"/>
        </w:rPr>
        <w:t xml:space="preserve">”. </w:t>
      </w:r>
    </w:p>
    <w:p w:rsidR="00956253" w:rsidRPr="005327DD" w:rsidRDefault="00956253" w:rsidP="008B6F2F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r w:rsidRPr="005327DD">
        <w:rPr>
          <w:rFonts w:ascii="Arial" w:hAnsi="Arial" w:cs="Arial"/>
          <w:sz w:val="24"/>
          <w:szCs w:val="24"/>
        </w:rPr>
        <w:t>En definitiva, el fet que els creditors tinguin l’oportunitat d’escollir lliurement entre el pagament immediat del crèdit renunciant als interessos de demora i de</w:t>
      </w:r>
      <w:r w:rsidR="004E5403" w:rsidRPr="005327DD">
        <w:rPr>
          <w:rFonts w:ascii="Arial" w:hAnsi="Arial" w:cs="Arial"/>
          <w:sz w:val="24"/>
          <w:szCs w:val="24"/>
        </w:rPr>
        <w:t>speses accessòries, o esperar-ne</w:t>
      </w:r>
      <w:r w:rsidRPr="005327DD">
        <w:rPr>
          <w:rFonts w:ascii="Arial" w:hAnsi="Arial" w:cs="Arial"/>
          <w:sz w:val="24"/>
          <w:szCs w:val="24"/>
        </w:rPr>
        <w:t xml:space="preserve"> pagament per part de l’administració deutora amb l’oportunitat de reclamar els interessos</w:t>
      </w:r>
      <w:r w:rsidR="00F91E4B" w:rsidRPr="005327DD">
        <w:rPr>
          <w:rFonts w:ascii="Arial" w:hAnsi="Arial" w:cs="Arial"/>
          <w:sz w:val="24"/>
          <w:szCs w:val="24"/>
        </w:rPr>
        <w:t xml:space="preserve"> de demora</w:t>
      </w:r>
      <w:r w:rsidR="004E5403" w:rsidRPr="005327DD">
        <w:rPr>
          <w:rFonts w:ascii="Arial" w:hAnsi="Arial" w:cs="Arial"/>
          <w:sz w:val="24"/>
          <w:szCs w:val="24"/>
        </w:rPr>
        <w:t>,</w:t>
      </w:r>
      <w:r w:rsidR="00F91E4B" w:rsidRPr="005327DD">
        <w:rPr>
          <w:rFonts w:ascii="Arial" w:hAnsi="Arial" w:cs="Arial"/>
          <w:sz w:val="24"/>
          <w:szCs w:val="24"/>
        </w:rPr>
        <w:t xml:space="preserve"> justifica que les previsions de les disposicions legals mencionades a l’inici d’aquest escrit no v</w:t>
      </w:r>
      <w:r w:rsidR="004E5403" w:rsidRPr="005327DD">
        <w:rPr>
          <w:rFonts w:ascii="Arial" w:hAnsi="Arial" w:cs="Arial"/>
          <w:sz w:val="24"/>
          <w:szCs w:val="24"/>
        </w:rPr>
        <w:t>ulneren la normativa europea</w:t>
      </w:r>
      <w:r w:rsidR="00F91E4B" w:rsidRPr="005327DD">
        <w:rPr>
          <w:rFonts w:ascii="Arial" w:hAnsi="Arial" w:cs="Arial"/>
          <w:sz w:val="24"/>
          <w:szCs w:val="24"/>
        </w:rPr>
        <w:t xml:space="preserve"> de lluita contra la morositat.  </w:t>
      </w:r>
    </w:p>
    <w:p w:rsidR="00F91E4B" w:rsidRPr="005327DD" w:rsidRDefault="00F91E4B" w:rsidP="008B6F2F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r w:rsidRPr="005327DD">
        <w:rPr>
          <w:rFonts w:ascii="Arial" w:hAnsi="Arial" w:cs="Arial"/>
          <w:sz w:val="24"/>
          <w:szCs w:val="24"/>
        </w:rPr>
        <w:t>A continuació poden consultar la Sentència de la Sala 5ª del Tribunal de Justícia de la Unió Europea, de 16 de febrer de 2017.</w:t>
      </w:r>
    </w:p>
    <w:p w:rsidR="008B6F2F" w:rsidRPr="005327DD" w:rsidRDefault="005327DD" w:rsidP="008B6F2F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hyperlink r:id="rId5" w:history="1">
        <w:r w:rsidR="008B6F2F" w:rsidRPr="005327DD">
          <w:rPr>
            <w:rStyle w:val="Hipervnculo"/>
            <w:rFonts w:ascii="Arial" w:hAnsi="Arial" w:cs="Arial"/>
            <w:sz w:val="24"/>
            <w:szCs w:val="24"/>
          </w:rPr>
          <w:t>http://curia.europa.eu/juris/document/document.jsf?text=&amp;docid=187923&amp;pageIndex=0&amp;doclang=ES&amp;mode=lst&amp;dir=&amp;occ=first&amp;part=1&amp;cid=820437</w:t>
        </w:r>
      </w:hyperlink>
    </w:p>
    <w:p w:rsidR="008B6F2F" w:rsidRPr="005327DD" w:rsidRDefault="008B6F2F" w:rsidP="008B6F2F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</w:p>
    <w:p w:rsidR="000F1321" w:rsidRPr="005327DD" w:rsidRDefault="000F132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F1321" w:rsidRPr="00532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21"/>
    <w:rsid w:val="000F1321"/>
    <w:rsid w:val="002934B7"/>
    <w:rsid w:val="002B0F65"/>
    <w:rsid w:val="002D6012"/>
    <w:rsid w:val="003A00FA"/>
    <w:rsid w:val="00450852"/>
    <w:rsid w:val="00484A79"/>
    <w:rsid w:val="004E5403"/>
    <w:rsid w:val="005327DD"/>
    <w:rsid w:val="008B6F2F"/>
    <w:rsid w:val="00956253"/>
    <w:rsid w:val="009E5C97"/>
    <w:rsid w:val="00A746C7"/>
    <w:rsid w:val="00CB618A"/>
    <w:rsid w:val="00D4239E"/>
    <w:rsid w:val="00D57148"/>
    <w:rsid w:val="00F91E4B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">
    <w:name w:val="articulo"/>
    <w:basedOn w:val="Normal"/>
    <w:rsid w:val="000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2">
    <w:name w:val="parrafo_2"/>
    <w:basedOn w:val="Normal"/>
    <w:rsid w:val="000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documento-tit">
    <w:name w:val="documento-tit"/>
    <w:basedOn w:val="Normal"/>
    <w:rsid w:val="000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2B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unhideWhenUsed/>
    <w:rsid w:val="008B6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">
    <w:name w:val="articulo"/>
    <w:basedOn w:val="Normal"/>
    <w:rsid w:val="000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2">
    <w:name w:val="parrafo_2"/>
    <w:basedOn w:val="Normal"/>
    <w:rsid w:val="000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documento-tit">
    <w:name w:val="documento-tit"/>
    <w:basedOn w:val="Normal"/>
    <w:rsid w:val="000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parrafo">
    <w:name w:val="parrafo"/>
    <w:basedOn w:val="Normal"/>
    <w:rsid w:val="002B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unhideWhenUsed/>
    <w:rsid w:val="008B6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uria.europa.eu/juris/document/document.jsf?text=&amp;docid=187923&amp;pageIndex=0&amp;doclang=ES&amp;mode=lst&amp;dir=&amp;occ=first&amp;part=1&amp;cid=820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Juridics 4 (Jan Reñé)</dc:creator>
  <cp:lastModifiedBy>ACM.cat - Joan Morcillo</cp:lastModifiedBy>
  <cp:revision>4</cp:revision>
  <dcterms:created xsi:type="dcterms:W3CDTF">2017-03-03T11:19:00Z</dcterms:created>
  <dcterms:modified xsi:type="dcterms:W3CDTF">2017-03-06T17:03:00Z</dcterms:modified>
</cp:coreProperties>
</file>